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141 III 185</w:t>
      </w:r>
    </w:p>
    <w:p>
      <w:r>
        <w:t>Bundesgericht (BGE), 2015-04-28, FR</w:t>
      </w:r>
    </w:p>
    <w:p>
      <w:r>
        <w:rPr>
          <w:b/>
        </w:rPr>
        <w:t xml:space="preserve">Quelle: </w:t>
      </w:r>
      <w:r>
        <w:t>https://mcp.opencaselaw.ch/entscheid/bge_141 III 185</w:t>
      </w:r>
    </w:p>
    <w:p>
      <w:r>
        <w:t>FR: ATF 141 III 185</w:t>
      </w:r>
    </w:p>
    <w:p>
      <w:r>
        <w:t>IT: DTF 141 III 185</w:t>
      </w:r>
    </w:p>
    <w:p>
      <w:pPr>
        <w:pStyle w:val="Heading2"/>
      </w:pPr>
      <w:r>
        <w:t>Regeste</w:t>
      </w:r>
    </w:p>
    <w:p>
      <w:r>
        <w:t>Regeste Art. 80 Abs. 1 und Art. 291 Abs. 1 SchKG; Vollstreckung eines Anfechtungsurteils. Das Anfechtungsurteil gilt als definitiver Rechtsöffnungstitel, soweit es den Beklagten dazu verpflichtet, dem Kläger Schadenersatz zu leisten (E. 4.2).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sens de l' art. 291 al. 1 LP , celui qui a profité d'un acte révocable doit restituer ce qu'il a reçu.</w:t>
      </w:r>
    </w:p>
    <w:p>
      <w:r>
        <w:rPr>
          <w:b/>
        </w:rPr>
        <w:t>E. 4.1</w:t>
      </w:r>
    </w:p>
    <w:p>
      <w:r>
        <w:t>Le jugement révocatoire a pour effet de rendre aux biens atteints par l'acte révocable du débiteur leur destination primitive, c'est-à-dire de les mettre en état de servir au désintéressement des créanciers, en les faisant retomber sous le droit d'exécution de ceux-ci ( ATF 136 III 341 consid. 3 p. 343 et les références; ATF 135 III 265 consid. 3 p. 268). La restitution des biens litigieux doit avoir principalement lieu en nature ( ATF 135 III 513 consid. 9.1 p. 530). Le jugement révocatoire n'a pas d'incidence sur la validité du transfert de propriété de ces biens ( ATF 136 III 341 consid. 3 p. 343). Il constate BGE 141 III 185 S. 187 que le créancier a le droit de les faire saisir et réaliser à son profit, comme s'ils appartenaient encore au débiteur ( ATF 47 III 89 consid. 1 p. 92), sans poursuite préalable ( ATF 43 III 212 spéc. p. 214 s.; PIERRE-ROBERT GILLIÉRON, Poursuite pour dettes, faillite et concordat, 5 e éd. 2012, n. 2968 p. 580).</w:t>
      </w:r>
    </w:p>
    <w:p>
      <w:r>
        <w:rPr>
          <w:b/>
        </w:rPr>
        <w:t>E. 4.2</w:t>
      </w:r>
    </w:p>
    <w:p>
      <w:r>
        <w:t>Subsidiairement, si la restitution en nature est impossible, parce que les biens ne se trouvent plus dans le patrimoine du bénéficiaire, elle doit avoir lieu par équivalent, sous la forme de dommages-intérêts au sens des art. 97 ss CO , dont le montant correspond à la contre-valeur des biens à la date où l'impossibilité est survenue ( ATF 136 III 341 consid. 4.1 p. 344; ATF 135 III 513 consid. 9.3 p. 531 et consid. 9.6 p. 535; 30 II 559 consid. 5 et 6 p. 563; dans la procédure de saisie, cf. arrêts 5A_748/2013 du 25 novembre 2014 consid. 5.1; 5A_28/2012 du 13 mars 2012 consid. 5; 5C.219/2006 du 16 avril 2007 consid. 4.2). A cet égard, le jugement révocatoire est de nature condamnatoire (HENRI-ROBERT SCHÜPBACH, Droit et action révocatoires, 1997, n os 43 s. ad art. 291 LP ). Il confère au créancier (demandeur dans l'action révocatoire) une créance en paiement d'une somme d'argent à l'encontre du tiers (défendeur dans l'action révocatoire). Si le tiers n'exécute pas son obligation, le créancier peut faire procéder à l'exécution forcée de la créance par la voie de la poursuite pour dettes ( art. 38 al. 1 LP ; THOMAS BAUER, in Basler Kommentar, Bundesgesetz über Schuldbetreibung und Konkurs, vol. II, 2 e éd. 2010, n° 15 ad art. 291 LP ; SCHÜPBACH, op. cit., n° 228 ad art. 291 LP ; HANS PETER BERZ, Der paulianische Rückerstattungsanspruch, 1960, p. 146 note 34). En tant qu'il condamne le tiers à verser des dommages-intérêts au créancier, le jugement révocatoire constitue un titre de mainlevée définitive ( art. 80 al. 1 LP ; BAUER, op. cit., n° 15 ad art. 291 LP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